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rFonts w:ascii="Montserrat" w:cs="Montserrat" w:eastAsia="Montserrat" w:hAnsi="Montserrat"/>
          <w:color w:val="222529"/>
          <w:sz w:val="34"/>
          <w:szCs w:val="34"/>
        </w:rPr>
      </w:pPr>
      <w:bookmarkStart w:colFirst="0" w:colLast="0" w:name="_xu3jgx8tifc" w:id="0"/>
      <w:bookmarkEnd w:id="0"/>
      <w:r w:rsidDel="00000000" w:rsidR="00000000" w:rsidRPr="00000000">
        <w:rPr>
          <w:rFonts w:ascii="Montserrat" w:cs="Montserrat" w:eastAsia="Montserrat" w:hAnsi="Montserrat"/>
          <w:color w:val="222529"/>
          <w:sz w:val="34"/>
          <w:szCs w:val="34"/>
          <w:rtl w:val="0"/>
        </w:rPr>
        <w:t xml:space="preserve">Vivienda: ¿En qué ciudades los arriendos están por encima de la inflación?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color w:val="22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2"/>
          <w:szCs w:val="22"/>
          <w:rtl w:val="0"/>
        </w:rPr>
        <w:t xml:space="preserve">27 de </w:t>
      </w: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2"/>
          <w:szCs w:val="22"/>
          <w:rtl w:val="0"/>
        </w:rPr>
        <w:t xml:space="preserve">abril de 2022</w:t>
      </w: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2"/>
          <w:szCs w:val="22"/>
          <w:rtl w:val="0"/>
        </w:rPr>
        <w:t xml:space="preserve">. Quito, Ecuador.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De acuerdo con un informe presentado por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Properati</w:t>
        </w:r>
      </w:hyperlink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, el portal inmobiliario de Latinoamérica, en Quito </w:t>
      </w: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2"/>
          <w:szCs w:val="22"/>
          <w:rtl w:val="0"/>
        </w:rPr>
        <w:t xml:space="preserve">los precios de los arriendos crecieron un 4,4%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 durante el último año, dos puntos porcentuales más que la inflación (2,6%). La plataforma digital de bienes raíces estudió el mercado de alquiler en varios países de América Latina, junto con la inflación, para tratar de entender el comportamiento del mercado inmobiliario. 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En el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siguiente gráfico interactivo</w:t>
        </w:r>
      </w:hyperlink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 puedes ver las tendencias de las variables estudiadas. Compara el precio promedio, inflación mensual, oferta de vivienda y demanda (nivel de visitas) desde enero de 2021 hasta marzo de 2022:</w:t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</w:rPr>
        <w:drawing>
          <wp:inline distB="114300" distT="114300" distL="114300" distR="114300">
            <wp:extent cx="2738438" cy="339491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33949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color w:val="e066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2"/>
          <w:szCs w:val="22"/>
          <w:rtl w:val="0"/>
        </w:rPr>
        <w:t xml:space="preserve">CÓDIGO PARA INSERTAR EL GRÁFICO (EMBED CODE):</w:t>
      </w:r>
    </w:p>
    <w:tbl>
      <w:tblPr>
        <w:tblStyle w:val="Table1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Montserrat" w:cs="Montserrat" w:eastAsia="Montserrat" w:hAnsi="Montserrat"/>
                <w:color w:val="222529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8"/>
                <w:szCs w:val="18"/>
                <w:shd w:fill="333333" w:val="clear"/>
                <w:rtl w:val="0"/>
              </w:rPr>
              <w:t xml:space="preserve">&lt;div style=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z w:val="18"/>
                <w:szCs w:val="18"/>
                <w:shd w:fill="333333" w:val="clear"/>
                <w:rtl w:val="0"/>
              </w:rPr>
              <w:t xml:space="preserve">"position: relative; overflow: hidden; padding-top: 140%;"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8"/>
                <w:szCs w:val="18"/>
                <w:shd w:fill="333333" w:val="clear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62c8f3"/>
                <w:sz w:val="18"/>
                <w:szCs w:val="18"/>
                <w:shd w:fill="333333" w:val="clear"/>
                <w:rtl w:val="0"/>
              </w:rPr>
              <w:t xml:space="preserve">iframe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 style=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z w:val="18"/>
                <w:szCs w:val="18"/>
                <w:shd w:fill="333333" w:val="clear"/>
                <w:rtl w:val="0"/>
              </w:rPr>
              <w:t xml:space="preserve">"position: absolute; top: 0; left: 0; width: 100%; height: 100%; border: 0;"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 src=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z w:val="18"/>
                <w:szCs w:val="18"/>
                <w:shd w:fill="333333" w:val="clear"/>
                <w:rtl w:val="0"/>
              </w:rPr>
              <w:t xml:space="preserve">"https://www.properati.com.ec/p/inflacion-arriendo-2021-2022.html"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 width=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z w:val="18"/>
                <w:szCs w:val="18"/>
                <w:shd w:fill="333333" w:val="clear"/>
                <w:rtl w:val="0"/>
              </w:rPr>
              <w:t xml:space="preserve">"300"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 height=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z w:val="18"/>
                <w:szCs w:val="18"/>
                <w:shd w:fill="333333" w:val="clear"/>
                <w:rtl w:val="0"/>
              </w:rPr>
              <w:t xml:space="preserve">"150"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&gt;&lt;/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62c8f3"/>
                <w:sz w:val="18"/>
                <w:szCs w:val="18"/>
                <w:shd w:fill="333333" w:val="clear"/>
                <w:rtl w:val="0"/>
              </w:rPr>
              <w:t xml:space="preserve">iframe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&gt;&lt;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62c8f3"/>
                <w:sz w:val="18"/>
                <w:szCs w:val="18"/>
                <w:shd w:fill="333333" w:val="clear"/>
                <w:rtl w:val="0"/>
              </w:rPr>
              <w:t xml:space="preserve">div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&gt;&lt;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62c8f3"/>
                <w:sz w:val="18"/>
                <w:szCs w:val="18"/>
                <w:shd w:fill="333333" w:val="clear"/>
                <w:rtl w:val="0"/>
              </w:rPr>
              <w:t xml:space="preserve">p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 style=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z w:val="18"/>
                <w:szCs w:val="18"/>
                <w:shd w:fill="333333" w:val="clear"/>
                <w:rtl w:val="0"/>
              </w:rPr>
              <w:t xml:space="preserve">"margin:0"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&gt;&lt;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62c8f3"/>
                <w:sz w:val="18"/>
                <w:szCs w:val="18"/>
                <w:shd w:fill="333333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 href=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z w:val="18"/>
                <w:szCs w:val="18"/>
                <w:shd w:fill="333333" w:val="clear"/>
                <w:rtl w:val="0"/>
              </w:rPr>
              <w:t xml:space="preserve">"https://www.properati.com.ec"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 style=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sz w:val="18"/>
                <w:szCs w:val="18"/>
                <w:shd w:fill="333333" w:val="clear"/>
                <w:rtl w:val="0"/>
              </w:rPr>
              <w:t xml:space="preserve">"color: #a4a1a1;text-decoration:none;font-size:10px; float:right"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sz w:val="18"/>
                <w:szCs w:val="18"/>
                <w:shd w:fill="333333" w:val="clear"/>
                <w:rtl w:val="0"/>
              </w:rPr>
              <w:t xml:space="preserve">Fuente: Properati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&lt;/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62c8f3"/>
                <w:sz w:val="18"/>
                <w:szCs w:val="18"/>
                <w:shd w:fill="333333" w:val="clear"/>
                <w:rtl w:val="0"/>
              </w:rPr>
              <w:t xml:space="preserve">a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&gt;&lt;/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62c8f3"/>
                <w:sz w:val="18"/>
                <w:szCs w:val="18"/>
                <w:shd w:fill="333333" w:val="clear"/>
                <w:rtl w:val="0"/>
              </w:rPr>
              <w:t xml:space="preserve">p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&gt;&lt;/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62c8f3"/>
                <w:sz w:val="18"/>
                <w:szCs w:val="18"/>
                <w:shd w:fill="333333" w:val="clear"/>
                <w:rtl w:val="0"/>
              </w:rPr>
              <w:t xml:space="preserve">div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&gt;&lt;/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color w:val="62c8f3"/>
                <w:sz w:val="18"/>
                <w:szCs w:val="18"/>
                <w:shd w:fill="333333" w:val="clear"/>
                <w:rtl w:val="0"/>
              </w:rPr>
              <w:t xml:space="preserve">div</w:t>
            </w:r>
            <w:r w:rsidDel="00000000" w:rsidR="00000000" w:rsidRPr="00000000">
              <w:rPr>
                <w:rFonts w:ascii="Consolas" w:cs="Consolas" w:eastAsia="Consolas" w:hAnsi="Consolas"/>
                <w:color w:val="62c8f3"/>
                <w:sz w:val="18"/>
                <w:szCs w:val="18"/>
                <w:shd w:fill="333333" w:val="clear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e06666"/>
          <w:sz w:val="22"/>
          <w:szCs w:val="22"/>
          <w:rtl w:val="0"/>
        </w:rPr>
        <w:t xml:space="preserve">ENLACE DIRECTO AL GRÁFICO (PANTALLA COMPLETA):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Consolas" w:cs="Consolas" w:eastAsia="Consolas" w:hAnsi="Consolas"/>
          <w:color w:val="ffffff"/>
          <w:sz w:val="18"/>
          <w:szCs w:val="18"/>
          <w:shd w:fill="333333" w:val="clear"/>
        </w:rPr>
      </w:pPr>
      <w:hyperlink r:id="rId9">
        <w:r w:rsidDel="00000000" w:rsidR="00000000" w:rsidRPr="00000000">
          <w:rPr>
            <w:rFonts w:ascii="Consolas" w:cs="Consolas" w:eastAsia="Consolas" w:hAnsi="Consolas"/>
            <w:color w:val="ffffff"/>
            <w:sz w:val="18"/>
            <w:szCs w:val="18"/>
            <w:u w:val="single"/>
            <w:shd w:fill="333333" w:val="clear"/>
            <w:rtl w:val="0"/>
          </w:rPr>
          <w:t xml:space="preserve">https://www.properati.com.ec/p/inflacion-arriendo-2021-2022.html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Durante el último año, el precio promedio de</w:t>
      </w: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2"/>
          <w:szCs w:val="22"/>
          <w:rtl w:val="0"/>
        </w:rPr>
        <w:t xml:space="preserve"> alquiler en Quito subió USD $27,2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, es decir un 4,4%; una cifra cercana al 2,6% de inflación interanual en marzo. Hoy, alquilar un departamento en Quito cuesta, en promedio,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 USD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 $640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El panorama de Quito se asemeja al de otras capitales latinoamericanas como Buenos Aires, donde los alquileres subieron un 57%, en correspondencia con una inflación interanual del 55%. En ambos casos, </w:t>
      </w: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2"/>
          <w:szCs w:val="22"/>
          <w:rtl w:val="0"/>
        </w:rPr>
        <w:t xml:space="preserve">los costos de rentar un departamento subieron más que la inflación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Sin embargo, en Bogotá y Lima el panorama es ligeramente distinto. En la capital colombiana los arriendos se incrementaron en un 6% durante el último año, aún cuando la inflación interanual fue del 8,5%. Mientras tanto, la inflación interanual peruana llegó al 7,5% y en su capital los precios de los alquileres subieron un 4,8%. En estas dos ciudades, los arriendos subieron menos que la inflación.</w:t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b w:val="1"/>
          <w:color w:val="22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jc w:val="both"/>
        <w:rPr>
          <w:rFonts w:ascii="Montserrat" w:cs="Montserrat" w:eastAsia="Montserrat" w:hAnsi="Montserrat"/>
          <w:b w:val="1"/>
          <w:color w:val="222529"/>
          <w:sz w:val="24"/>
          <w:szCs w:val="24"/>
        </w:rPr>
      </w:pPr>
      <w:bookmarkStart w:colFirst="0" w:colLast="0" w:name="_wzaeot5x6ksw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4"/>
          <w:szCs w:val="24"/>
          <w:rtl w:val="0"/>
        </w:rPr>
        <w:t xml:space="preserve">¿Qué tanto coinciden la inflación y el arriendo?</w:t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La inflación mensual no ha dado tregua durante los primeros meses de 2022 en Colombia y Perú, a pesar de que algunos meses creció por debajo del 1%. Esta tendencia al alza se corresponde idénticamente con el incremento en los precios, que </w:t>
      </w: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2"/>
          <w:szCs w:val="22"/>
          <w:rtl w:val="0"/>
        </w:rPr>
        <w:t xml:space="preserve">no han parado de subir desde noviembre de 2021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Entre tanto, en Quito se evidencia una variación moderada en los precios de los alquileres durante el 2022, muy similar a la variación que ha tenido el costo de vida. Entre tanto, los arriendos en Buenos Aires han aumentado con menor velocidad que la inflación desde noviembre.</w:t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b w:val="1"/>
          <w:color w:val="222529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4"/>
          <w:szCs w:val="24"/>
          <w:rtl w:val="0"/>
        </w:rPr>
        <w:t xml:space="preserve">¿Cómo se comportó el mercado durante esta época?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A nivel general, </w:t>
      </w: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2"/>
          <w:szCs w:val="22"/>
          <w:rtl w:val="0"/>
        </w:rPr>
        <w:t xml:space="preserve">la demanda de alquileres disminuyó en el último año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. En Lima y Quito, las búsquedas de departamentos en renta cayeron con más fuerza entre agosto y septiembre; mientras que </w:t>
      </w: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2"/>
          <w:szCs w:val="22"/>
          <w:rtl w:val="0"/>
        </w:rPr>
        <w:t xml:space="preserve">Bogotá tuvo la mayor disminución a mitad de año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 y en Buenos Aires fue un descenso paulatino. Bogotá y Buenos Aires son las únicas ciudades donde la demanda ha recuperado terreno en el 2022.</w:t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Por otra parte, la oferta de arriendos creció significativamente en Lima hasta tocar techo en agosto, de ahí en adelante disminuyó. Mientras tanto, en Bogotá, </w:t>
      </w: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2"/>
          <w:szCs w:val="22"/>
          <w:rtl w:val="0"/>
        </w:rPr>
        <w:t xml:space="preserve">Quito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 y Buenos Aires hubo una cantidad de anuncios de alquileres relativamente estable durante los primeros meses hasta la mitad del 2021, momento en el que comenzó a disminuir. </w:t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Para marzo de 2022, la mayoría de ciudades muestran un aumento significativo en la cantidad de anuncios, debido a la integración entre Properati y Lifull Connect.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b w:val="1"/>
          <w:color w:val="222529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24"/>
          <w:szCs w:val="24"/>
          <w:rtl w:val="0"/>
        </w:rPr>
        <w:t xml:space="preserve">Metodología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Recopilamos los indicadores de inflación mensual entre enero de 2021 y marzo de 2022 en los países analizados.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Los datos de precios de arriendos, demanda y oferta corresponden a los anuncios y métricas registradas en Properati durante el periodo analizado.</w:t>
      </w: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highlight w:val="white"/>
          <w:rtl w:val="0"/>
        </w:rPr>
        <w:t xml:space="preserve">Analizamos anuncios de departamentos en renta de 2 y 3 habitaciones, entre 60 y 90 m2 de superficie.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color w:val="22252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Las gráficas de oferta y demanda presentan los datos en una escala del 0 al 1.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color w:val="222529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529"/>
          <w:sz w:val="22"/>
          <w:szCs w:val="22"/>
          <w:rtl w:val="0"/>
        </w:rPr>
        <w:t xml:space="preserve">Algunas cifras pueden resultar elevadas, esto se debe a la naturaleza de la oferta inmobiliaria disponible en nuestro Portal.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Montserrat" w:cs="Montserrat" w:eastAsia="Montserrat" w:hAnsi="Montserrat"/>
          <w:b w:val="1"/>
          <w:color w:val="222529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529"/>
          <w:sz w:val="18"/>
          <w:szCs w:val="18"/>
          <w:rtl w:val="0"/>
        </w:rPr>
        <w:t xml:space="preserve">ACERCA DE PROPERATI</w:t>
      </w:r>
    </w:p>
    <w:p w:rsidR="00000000" w:rsidDel="00000000" w:rsidP="00000000" w:rsidRDefault="00000000" w:rsidRPr="00000000" w14:paraId="0000002C">
      <w:pPr>
        <w:jc w:val="both"/>
        <w:rPr>
          <w:rFonts w:ascii="Montserrat" w:cs="Montserrat" w:eastAsia="Montserrat" w:hAnsi="Montserrat"/>
          <w:color w:val="222529"/>
          <w:sz w:val="18"/>
          <w:szCs w:val="18"/>
        </w:rPr>
      </w:pP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PROPERATI</w:t>
        </w:r>
      </w:hyperlink>
      <w:r w:rsidDel="00000000" w:rsidR="00000000" w:rsidRPr="00000000">
        <w:rPr>
          <w:rFonts w:ascii="Montserrat" w:cs="Montserrat" w:eastAsia="Montserrat" w:hAnsi="Montserrat"/>
          <w:color w:val="222529"/>
          <w:sz w:val="18"/>
          <w:szCs w:val="18"/>
          <w:rtl w:val="0"/>
        </w:rPr>
        <w:t xml:space="preserve"> es la plataforma digital de bienes raíces experta en ayudarte a encontrar tu nuevo hogar. Quienes busquen una vivienda o quieran invertir en propiedades encontrarán en Properati toda la oferta del mercado disponible y valiosa información para tomar las mejores decisiones. Nuestro objetivo es conectar a compradores y vendedores para formar un círculo virtuoso de generación de oportunidades de manera rápida y efectiva. Fue fundada en 2012 en Argentina para cambiar la forma en que se venden y alquilan inmuebles en Latinoamérica.Desde 2022 forma parte de </w:t>
      </w:r>
      <w:r w:rsidDel="00000000" w:rsidR="00000000" w:rsidRPr="00000000">
        <w:rPr>
          <w:rFonts w:ascii="Montserrat" w:cs="Montserrat" w:eastAsia="Montserrat" w:hAnsi="Montserrat"/>
          <w:color w:val="222529"/>
          <w:sz w:val="18"/>
          <w:szCs w:val="18"/>
          <w:rtl w:val="0"/>
        </w:rPr>
        <w:t xml:space="preserve">Lifull</w:t>
      </w:r>
      <w:r w:rsidDel="00000000" w:rsidR="00000000" w:rsidRPr="00000000">
        <w:rPr>
          <w:rFonts w:ascii="Montserrat" w:cs="Montserrat" w:eastAsia="Montserrat" w:hAnsi="Montserrat"/>
          <w:color w:val="222529"/>
          <w:sz w:val="18"/>
          <w:szCs w:val="18"/>
          <w:rtl w:val="0"/>
        </w:rPr>
        <w:t xml:space="preserve"> Connect. Properati es más que un portal inmobiliario, es experto en conseguir tu nuevo hogar.</w:t>
      </w:r>
    </w:p>
    <w:p w:rsidR="00000000" w:rsidDel="00000000" w:rsidP="00000000" w:rsidRDefault="00000000" w:rsidRPr="00000000" w14:paraId="0000002D">
      <w:pPr>
        <w:spacing w:line="276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6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84"/>
        <w:gridCol w:w="3984"/>
        <w:tblGridChange w:id="0">
          <w:tblGrid>
            <w:gridCol w:w="3984"/>
            <w:gridCol w:w="3984"/>
          </w:tblGrid>
        </w:tblGridChange>
      </w:tblGrid>
      <w:tr>
        <w:trPr>
          <w:cantSplit w:val="0"/>
          <w:trHeight w:val="1108.0468749999998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Contacto de prensa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</w:rPr>
              <w:drawing>
                <wp:inline distB="0" distT="0" distL="114300" distR="114300">
                  <wp:extent cx="1176338" cy="2175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38" cy="217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Ricardo Meneses Flores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Data Lead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prensa@properati.com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+593 994722408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31.2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Calibri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Medium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>
        <w:rFonts w:ascii="Montserrat" w:cs="Montserrat" w:eastAsia="Montserrat" w:hAnsi="Montserrat"/>
        <w:b w:val="1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20"/>
        <w:szCs w:val="20"/>
        <w:rtl w:val="0"/>
      </w:rPr>
      <w:t xml:space="preserve"> de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645920" cy="3048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5920" cy="304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 Medium" w:cs="Montserrat Medium" w:eastAsia="Montserrat Medium" w:hAnsi="Montserrat Medium"/>
        <w:sz w:val="26"/>
        <w:szCs w:val="2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Montserrat" w:cs="Montserrat" w:eastAsia="Montserrat" w:hAnsi="Montserrat"/>
      <w:b w:val="1"/>
      <w:color w:val="ff99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 SemiBold" w:cs="Montserrat SemiBold" w:eastAsia="Montserrat SemiBold" w:hAnsi="Montserrat SemiBold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Montserrat Medium" w:cs="Montserrat Medium" w:eastAsia="Montserrat Medium" w:hAnsi="Montserrat Medium"/>
      <w:color w:val="ff9900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www.properati.com.ar/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roperati.com.ec/p/inflacion-arriendo-2021-2022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roperati.com.ec/" TargetMode="External"/><Relationship Id="rId7" Type="http://schemas.openxmlformats.org/officeDocument/2006/relationships/hyperlink" Target="https://www.properati.com.ec/p/inflacion-arriendo-2021-2022.html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1" Type="http://schemas.openxmlformats.org/officeDocument/2006/relationships/font" Target="fonts/MontserratMedium-italic.ttf"/><Relationship Id="rId10" Type="http://schemas.openxmlformats.org/officeDocument/2006/relationships/font" Target="fonts/MontserratMedium-bold.ttf"/><Relationship Id="rId12" Type="http://schemas.openxmlformats.org/officeDocument/2006/relationships/font" Target="fonts/MontserratMedium-boldItalic.ttf"/><Relationship Id="rId9" Type="http://schemas.openxmlformats.org/officeDocument/2006/relationships/font" Target="fonts/MontserratMedium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